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D6" w:rsidRDefault="00C24DD6" w:rsidP="006718D5"/>
    <w:p w:rsidR="006718D5" w:rsidRDefault="006718D5" w:rsidP="006718D5">
      <w:r>
        <w:t>Haben Sie Schulden bei Ihrem Energieversorger, sollten Sie schnell handeln. Bei Strom- oder Gasschulden kann es passieren, dass Ihnen der Vertrag gekündigt und gleichzeitig die Strom- oder Gaslieferung eingestellt wird.</w:t>
      </w:r>
    </w:p>
    <w:p w:rsidR="006718D5" w:rsidRDefault="006718D5" w:rsidP="006718D5">
      <w:pPr>
        <w:pStyle w:val="KeinLeerraum"/>
        <w:jc w:val="both"/>
      </w:pPr>
      <w:r>
        <w:t>Herd, Kühlschrank, Waschmaschine, Heizung und andere Geräte können nicht mehr genutzt werden können.</w:t>
      </w:r>
    </w:p>
    <w:p w:rsidR="006718D5" w:rsidRDefault="006718D5" w:rsidP="006718D5">
      <w:pPr>
        <w:pStyle w:val="KeinLeerraum"/>
        <w:jc w:val="both"/>
      </w:pPr>
    </w:p>
    <w:p w:rsidR="006718D5" w:rsidRPr="00411808" w:rsidRDefault="006718D5" w:rsidP="006718D5">
      <w:pPr>
        <w:pStyle w:val="KeinLeerraum"/>
        <w:jc w:val="both"/>
        <w:rPr>
          <w:b/>
        </w:rPr>
      </w:pPr>
      <w:r w:rsidRPr="00411808">
        <w:rPr>
          <w:b/>
        </w:rPr>
        <w:t>Wann kann mir Strom oder Gas gesperrt werden?</w:t>
      </w:r>
    </w:p>
    <w:p w:rsidR="006718D5" w:rsidRDefault="006718D5" w:rsidP="006718D5">
      <w:pPr>
        <w:pStyle w:val="KeinLeerraum"/>
        <w:jc w:val="both"/>
      </w:pPr>
      <w:r>
        <w:t>Voraussetzung ist, dass</w:t>
      </w:r>
    </w:p>
    <w:p w:rsidR="006718D5" w:rsidRDefault="006718D5" w:rsidP="006718D5">
      <w:pPr>
        <w:pStyle w:val="KeinLeerraum"/>
        <w:numPr>
          <w:ilvl w:val="0"/>
          <w:numId w:val="9"/>
        </w:numPr>
        <w:jc w:val="both"/>
      </w:pPr>
      <w:r>
        <w:t>Sie im Vorfeld eine Zahlungsaufforderung durch Ihren Versorger erhalten haben und die Zahlung angemahnt wurde</w:t>
      </w:r>
    </w:p>
    <w:p w:rsidR="006718D5" w:rsidRDefault="006718D5" w:rsidP="006718D5">
      <w:pPr>
        <w:pStyle w:val="KeinLeerraum"/>
        <w:numPr>
          <w:ilvl w:val="0"/>
          <w:numId w:val="9"/>
        </w:numPr>
        <w:jc w:val="both"/>
      </w:pPr>
      <w:r>
        <w:t>Ihnen die Liefersperre angedroht worden ist (was in der Regel schon in der Mahnung passiert)</w:t>
      </w:r>
    </w:p>
    <w:p w:rsidR="006718D5" w:rsidRDefault="006718D5" w:rsidP="006718D5">
      <w:pPr>
        <w:pStyle w:val="KeinLeerraum"/>
        <w:numPr>
          <w:ilvl w:val="0"/>
          <w:numId w:val="9"/>
        </w:numPr>
        <w:jc w:val="both"/>
      </w:pPr>
      <w:r>
        <w:t>Ihnen drei Werktage im Voraus die Sperre nochmals angekündigt worden ist</w:t>
      </w:r>
    </w:p>
    <w:p w:rsidR="006718D5" w:rsidRDefault="006718D5" w:rsidP="006718D5">
      <w:pPr>
        <w:pStyle w:val="KeinLeerraum"/>
        <w:numPr>
          <w:ilvl w:val="0"/>
          <w:numId w:val="9"/>
        </w:numPr>
        <w:jc w:val="both"/>
      </w:pPr>
      <w:r>
        <w:t>Die Höhe der Forderung mindestens 100,- € beträgt</w:t>
      </w:r>
    </w:p>
    <w:p w:rsidR="006718D5" w:rsidRDefault="006718D5" w:rsidP="006718D5">
      <w:pPr>
        <w:pStyle w:val="KeinLeerraum"/>
        <w:jc w:val="both"/>
      </w:pPr>
    </w:p>
    <w:p w:rsidR="006718D5" w:rsidRPr="00411808" w:rsidRDefault="006718D5" w:rsidP="006718D5">
      <w:pPr>
        <w:pStyle w:val="KeinLeerraum"/>
        <w:jc w:val="both"/>
        <w:rPr>
          <w:b/>
        </w:rPr>
      </w:pPr>
      <w:r w:rsidRPr="00411808">
        <w:rPr>
          <w:b/>
        </w:rPr>
        <w:t>Wie kann ich verhindern, dass Strom oder Gas abgestellt wird?</w:t>
      </w:r>
    </w:p>
    <w:p w:rsidR="006718D5" w:rsidRDefault="006718D5" w:rsidP="006718D5">
      <w:pPr>
        <w:pStyle w:val="KeinLeerraum"/>
        <w:jc w:val="both"/>
      </w:pPr>
      <w:r>
        <w:t>Kontakt mit dem Strom-Gasanbieter aufnehmen:</w:t>
      </w:r>
    </w:p>
    <w:p w:rsidR="006718D5" w:rsidRDefault="006718D5" w:rsidP="006718D5">
      <w:pPr>
        <w:pStyle w:val="KeinLeerraum"/>
        <w:numPr>
          <w:ilvl w:val="0"/>
          <w:numId w:val="10"/>
        </w:numPr>
        <w:jc w:val="both"/>
      </w:pPr>
      <w:r>
        <w:t>Können Sie hinreichend belegen, dass Sie den Rückstand bezahlen können, ist die Sperre zu verhindern. Dies kann durch Raten- oder Einmalzahlungen oder durch Dritte geschehen</w:t>
      </w:r>
    </w:p>
    <w:p w:rsidR="006718D5" w:rsidRDefault="006718D5" w:rsidP="006718D5">
      <w:pPr>
        <w:pStyle w:val="KeinLeerraum"/>
        <w:ind w:left="360"/>
        <w:jc w:val="both"/>
      </w:pPr>
      <w:r>
        <w:t>Unverhältnismäßigkeit der Sperre kann gegeben sein, wenn</w:t>
      </w:r>
    </w:p>
    <w:p w:rsidR="006718D5" w:rsidRDefault="006718D5" w:rsidP="006718D5">
      <w:pPr>
        <w:pStyle w:val="KeinLeerraum"/>
        <w:numPr>
          <w:ilvl w:val="0"/>
          <w:numId w:val="10"/>
        </w:numPr>
        <w:jc w:val="both"/>
      </w:pPr>
      <w:r>
        <w:t xml:space="preserve">Kleine Kinder, Kranke, Menschen mit </w:t>
      </w:r>
      <w:proofErr w:type="spellStart"/>
      <w:r>
        <w:t>Behinde</w:t>
      </w:r>
      <w:proofErr w:type="spellEnd"/>
      <w:r>
        <w:t>-rungen oder alte Menschen im Haushalt leben</w:t>
      </w:r>
    </w:p>
    <w:p w:rsidR="006718D5" w:rsidRDefault="006718D5" w:rsidP="006718D5">
      <w:pPr>
        <w:pStyle w:val="KeinLeerraum"/>
        <w:numPr>
          <w:ilvl w:val="0"/>
          <w:numId w:val="10"/>
        </w:numPr>
        <w:jc w:val="both"/>
      </w:pPr>
      <w:r>
        <w:t>Der Verlust des Inhalts der Tiefkühltruhe droht</w:t>
      </w:r>
    </w:p>
    <w:p w:rsidR="00C24DD6" w:rsidRDefault="00C24DD6" w:rsidP="00C24DD6">
      <w:pPr>
        <w:pStyle w:val="KeinLeerraum"/>
        <w:ind w:left="720"/>
        <w:jc w:val="both"/>
      </w:pPr>
    </w:p>
    <w:p w:rsidR="006718D5" w:rsidRDefault="006718D5" w:rsidP="006718D5">
      <w:pPr>
        <w:pStyle w:val="KeinLeerraum"/>
        <w:numPr>
          <w:ilvl w:val="0"/>
          <w:numId w:val="10"/>
        </w:numPr>
        <w:jc w:val="both"/>
      </w:pPr>
      <w:r>
        <w:t>Die Gefahr besteht, dass Leitungen einfrieren</w:t>
      </w:r>
    </w:p>
    <w:p w:rsidR="006718D5" w:rsidRDefault="006718D5" w:rsidP="006718D5">
      <w:pPr>
        <w:pStyle w:val="KeinLeerraum"/>
        <w:numPr>
          <w:ilvl w:val="0"/>
          <w:numId w:val="10"/>
        </w:numPr>
        <w:jc w:val="both"/>
      </w:pPr>
      <w:r>
        <w:t>Infolge des Heizungsausfalls eine Schädigung der Gesundheit droht</w:t>
      </w:r>
    </w:p>
    <w:p w:rsidR="006718D5" w:rsidRDefault="006718D5" w:rsidP="006718D5">
      <w:pPr>
        <w:pStyle w:val="KeinLeerraum"/>
        <w:jc w:val="both"/>
      </w:pPr>
    </w:p>
    <w:p w:rsidR="006718D5" w:rsidRDefault="006718D5" w:rsidP="006718D5">
      <w:pPr>
        <w:pStyle w:val="KeinLeerraum"/>
        <w:jc w:val="both"/>
      </w:pPr>
      <w:r>
        <w:t>Der Energieversoger ist zwar verpflichtet die Voraussetzungen für eine Sperre zu prüfen, jedoch sollten Sie auch selber die Gründe für die Unzumutbarkeit darzulegen. Dazu schreiben Sie am besten an den Energieversorger, schildern die Situation und erklären, wie Sie sich die Bezahlung der Schulden vorstellen.</w:t>
      </w:r>
    </w:p>
    <w:p w:rsidR="006718D5" w:rsidRDefault="006718D5" w:rsidP="006718D5">
      <w:pPr>
        <w:pStyle w:val="KeinLeerraum"/>
        <w:jc w:val="both"/>
      </w:pPr>
      <w:r>
        <w:t>Dennoch kann es passieren, dass die Energiesperre eintritt. Der einzige Ausweg besteht dann darin, beim Amtsgericht eine einstweilige Anordnung zu erwirken, die dafür sorgt, dass Sie weiterhin Strom oder Gas bekommen.</w:t>
      </w:r>
    </w:p>
    <w:p w:rsidR="006718D5" w:rsidRDefault="006718D5" w:rsidP="006718D5">
      <w:pPr>
        <w:pStyle w:val="KeinLeerraum"/>
        <w:jc w:val="both"/>
      </w:pPr>
    </w:p>
    <w:p w:rsidR="006718D5" w:rsidRPr="009403D5" w:rsidRDefault="006718D5" w:rsidP="006718D5">
      <w:pPr>
        <w:pStyle w:val="KeinLeerraum"/>
        <w:jc w:val="both"/>
        <w:rPr>
          <w:b/>
        </w:rPr>
      </w:pPr>
      <w:r>
        <w:rPr>
          <w:b/>
        </w:rPr>
        <w:t>Und w</w:t>
      </w:r>
      <w:r w:rsidRPr="009403D5">
        <w:rPr>
          <w:b/>
        </w:rPr>
        <w:t>enn ich es nicht bezahlen kann?</w:t>
      </w:r>
    </w:p>
    <w:p w:rsidR="006718D5" w:rsidRDefault="006718D5" w:rsidP="006718D5">
      <w:pPr>
        <w:pStyle w:val="KeinLeerraum"/>
        <w:jc w:val="both"/>
      </w:pPr>
      <w:r>
        <w:t>Beziehen Sie ALG II können die Energieschulden auf Antrag vom Jobcenter übernommen werden. Das geschieht jedoch nur auf Darlehnsbasis. Das Jobcenter wird Ihnen dann vom Regelsatz einen gewissen Betrag abziehen.</w:t>
      </w:r>
    </w:p>
    <w:p w:rsidR="006718D5" w:rsidRDefault="006718D5" w:rsidP="006718D5">
      <w:pPr>
        <w:pStyle w:val="KeinLeerraum"/>
        <w:jc w:val="both"/>
      </w:pPr>
    </w:p>
    <w:p w:rsidR="006718D5" w:rsidRDefault="006718D5" w:rsidP="006718D5">
      <w:pPr>
        <w:pStyle w:val="KeinLeerraum"/>
        <w:jc w:val="both"/>
      </w:pPr>
      <w:r>
        <w:t>Was ist mit einem Wechsel des Strom-/Gasanbieters?</w:t>
      </w:r>
    </w:p>
    <w:p w:rsidR="006718D5" w:rsidRDefault="006718D5" w:rsidP="006718D5">
      <w:pPr>
        <w:pStyle w:val="KeinLeerraum"/>
        <w:jc w:val="both"/>
      </w:pPr>
      <w:r>
        <w:t>Können Sie die Energieschulden nicht bezahlen und werden diese auch nicht vom Jobcenter übernommen, müssen Sie sich einen anderen Anbieter suchen. Das kann jedoch oftmals sehr mühselig sein.</w:t>
      </w:r>
    </w:p>
    <w:p w:rsidR="00C24DD6" w:rsidRDefault="006718D5" w:rsidP="00C24DD6">
      <w:pPr>
        <w:pStyle w:val="KeinLeerraum"/>
        <w:jc w:val="both"/>
      </w:pPr>
      <w:r w:rsidRPr="009403D5">
        <w:rPr>
          <w:i/>
        </w:rPr>
        <w:t xml:space="preserve">Bitte beachten Sie! Wenn Sie den Anbieter einmalig wechseln, kann </w:t>
      </w:r>
      <w:proofErr w:type="gramStart"/>
      <w:r w:rsidRPr="009403D5">
        <w:rPr>
          <w:i/>
        </w:rPr>
        <w:t>dies ein</w:t>
      </w:r>
      <w:proofErr w:type="gramEnd"/>
      <w:r w:rsidRPr="009403D5">
        <w:rPr>
          <w:i/>
        </w:rPr>
        <w:t xml:space="preserve"> Ausweg sein. Sollten Sie jedoch diese Lieferung auch nicht bezahlen kann Ihnen Betrug vorgeworfen werden</w:t>
      </w:r>
    </w:p>
    <w:tbl>
      <w:tblPr>
        <w:tblStyle w:val="Tabellenraster"/>
        <w:tblpPr w:leftFromText="141" w:rightFromText="141" w:vertAnchor="page" w:horzAnchor="page" w:tblpX="9136" w:tblpY="3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tblGrid>
      <w:tr w:rsidR="00060063" w:rsidTr="00060063">
        <w:trPr>
          <w:trHeight w:val="5265"/>
        </w:trPr>
        <w:tc>
          <w:tcPr>
            <w:tcW w:w="2641" w:type="dxa"/>
          </w:tcPr>
          <w:p w:rsidR="00060063" w:rsidRPr="00CE5572" w:rsidRDefault="00060063" w:rsidP="00060063">
            <w:pPr>
              <w:rPr>
                <w:sz w:val="18"/>
                <w:szCs w:val="18"/>
              </w:rPr>
            </w:pP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Schuldner- und</w:t>
            </w: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Insolvenzberatung</w:t>
            </w:r>
          </w:p>
          <w:p w:rsidR="00060063" w:rsidRPr="00CE5572" w:rsidRDefault="00060063" w:rsidP="00060063">
            <w:pPr>
              <w:rPr>
                <w:sz w:val="18"/>
                <w:szCs w:val="18"/>
              </w:rPr>
            </w:pPr>
          </w:p>
          <w:p w:rsidR="00060063" w:rsidRPr="00CE5572" w:rsidRDefault="00060063" w:rsidP="00060063">
            <w:pPr>
              <w:rPr>
                <w:sz w:val="18"/>
                <w:szCs w:val="18"/>
              </w:rPr>
            </w:pP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4D701A">
              <w:rPr>
                <w:sz w:val="18"/>
                <w:szCs w:val="18"/>
              </w:rPr>
              <w:t>Timm-Kröger-Straße</w:t>
            </w:r>
            <w:r w:rsidR="00060063" w:rsidRPr="00CE5572">
              <w:rPr>
                <w:sz w:val="18"/>
                <w:szCs w:val="18"/>
              </w:rPr>
              <w:t xml:space="preserve"> 2</w:t>
            </w: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060063" w:rsidRPr="00CE5572">
              <w:rPr>
                <w:sz w:val="18"/>
                <w:szCs w:val="18"/>
              </w:rPr>
              <w:t>25524 Itzehoe</w:t>
            </w:r>
          </w:p>
          <w:p w:rsidR="00060063" w:rsidRPr="00CE5572" w:rsidRDefault="00060063" w:rsidP="00060063">
            <w:pPr>
              <w:rPr>
                <w:sz w:val="18"/>
                <w:szCs w:val="18"/>
              </w:rPr>
            </w:pPr>
          </w:p>
          <w:p w:rsidR="00060063" w:rsidRPr="00C4474C"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713D9D">
              <w:rPr>
                <w:sz w:val="18"/>
                <w:szCs w:val="18"/>
              </w:rPr>
              <w:t>Tel.</w:t>
            </w:r>
            <w:r w:rsidR="00060063" w:rsidRPr="00C4474C">
              <w:rPr>
                <w:sz w:val="18"/>
                <w:szCs w:val="18"/>
              </w:rPr>
              <w:t xml:space="preserve">  0 48 21  </w:t>
            </w:r>
            <w:r w:rsidR="00060063">
              <w:rPr>
                <w:sz w:val="18"/>
                <w:szCs w:val="18"/>
              </w:rPr>
              <w:t>-</w:t>
            </w:r>
            <w:r w:rsidR="00060063" w:rsidRPr="00C4474C">
              <w:rPr>
                <w:sz w:val="18"/>
                <w:szCs w:val="18"/>
              </w:rPr>
              <w:t xml:space="preserve">  </w:t>
            </w:r>
            <w:r w:rsidR="004D701A">
              <w:rPr>
                <w:sz w:val="18"/>
                <w:szCs w:val="18"/>
              </w:rPr>
              <w:t>94 89 99-0</w:t>
            </w:r>
          </w:p>
          <w:p w:rsidR="00060063" w:rsidRPr="00C4474C" w:rsidRDefault="00947961" w:rsidP="00060063">
            <w:pPr>
              <w:rPr>
                <w:sz w:val="18"/>
                <w:szCs w:val="18"/>
              </w:rPr>
            </w:pPr>
            <w:r>
              <w:rPr>
                <w:sz w:val="18"/>
                <w:szCs w:val="18"/>
              </w:rPr>
              <w:t xml:space="preserve"> </w:t>
            </w:r>
            <w:r w:rsidR="00842093">
              <w:rPr>
                <w:sz w:val="18"/>
                <w:szCs w:val="18"/>
              </w:rPr>
              <w:t xml:space="preserve"> </w:t>
            </w:r>
            <w:r w:rsidR="00A07EB9">
              <w:rPr>
                <w:sz w:val="18"/>
                <w:szCs w:val="18"/>
              </w:rPr>
              <w:t xml:space="preserve"> </w:t>
            </w:r>
            <w:r w:rsidR="00060063">
              <w:rPr>
                <w:sz w:val="18"/>
                <w:szCs w:val="18"/>
              </w:rPr>
              <w:t>Fax  0 48 21  -</w:t>
            </w:r>
            <w:r w:rsidR="00A07EB9">
              <w:rPr>
                <w:sz w:val="18"/>
                <w:szCs w:val="18"/>
              </w:rPr>
              <w:t xml:space="preserve">  </w:t>
            </w:r>
            <w:r w:rsidR="004D701A">
              <w:rPr>
                <w:sz w:val="18"/>
                <w:szCs w:val="18"/>
              </w:rPr>
              <w:t>94 89 99-18</w:t>
            </w:r>
            <w:bookmarkStart w:id="0" w:name="_GoBack"/>
            <w:bookmarkEnd w:id="0"/>
          </w:p>
          <w:p w:rsidR="00060063" w:rsidRPr="00C4474C" w:rsidRDefault="00060063" w:rsidP="00060063">
            <w:pPr>
              <w:rPr>
                <w:sz w:val="18"/>
                <w:szCs w:val="18"/>
              </w:rPr>
            </w:pPr>
          </w:p>
          <w:p w:rsidR="00060063" w:rsidRPr="00C4474C" w:rsidRDefault="00A07EB9" w:rsidP="00060063">
            <w:pPr>
              <w:rPr>
                <w:sz w:val="18"/>
                <w:szCs w:val="18"/>
              </w:rPr>
            </w:pPr>
            <w:r>
              <w:rPr>
                <w:sz w:val="18"/>
                <w:szCs w:val="18"/>
              </w:rPr>
              <w:t xml:space="preserve">  </w:t>
            </w:r>
            <w:r w:rsidR="00947961">
              <w:rPr>
                <w:sz w:val="18"/>
                <w:szCs w:val="18"/>
              </w:rPr>
              <w:t xml:space="preserve"> </w:t>
            </w:r>
            <w:proofErr w:type="spellStart"/>
            <w:r w:rsidR="00060063" w:rsidRPr="00C4474C">
              <w:rPr>
                <w:sz w:val="18"/>
                <w:szCs w:val="18"/>
              </w:rPr>
              <w:t>schuldnerberatung</w:t>
            </w:r>
            <w:proofErr w:type="spellEnd"/>
            <w:r w:rsidR="00060063" w:rsidRPr="00C4474C">
              <w:rPr>
                <w:sz w:val="18"/>
                <w:szCs w:val="18"/>
              </w:rPr>
              <w:t>@</w:t>
            </w:r>
          </w:p>
          <w:p w:rsidR="00060063" w:rsidRPr="00C4474C" w:rsidRDefault="00A07EB9" w:rsidP="00060063">
            <w:pPr>
              <w:rPr>
                <w:sz w:val="18"/>
                <w:szCs w:val="18"/>
              </w:rPr>
            </w:pPr>
            <w:r>
              <w:rPr>
                <w:sz w:val="18"/>
                <w:szCs w:val="18"/>
              </w:rPr>
              <w:t xml:space="preserve"> </w:t>
            </w:r>
            <w:r w:rsidR="00947961">
              <w:rPr>
                <w:sz w:val="18"/>
                <w:szCs w:val="18"/>
              </w:rPr>
              <w:t xml:space="preserve"> </w:t>
            </w:r>
            <w:r>
              <w:rPr>
                <w:sz w:val="18"/>
                <w:szCs w:val="18"/>
              </w:rPr>
              <w:t xml:space="preserve"> </w:t>
            </w:r>
            <w:r w:rsidR="00060063" w:rsidRPr="00C4474C">
              <w:rPr>
                <w:sz w:val="18"/>
                <w:szCs w:val="18"/>
              </w:rPr>
              <w:t>steinburg-sozial.de</w:t>
            </w:r>
          </w:p>
          <w:p w:rsidR="00060063" w:rsidRPr="00C4474C" w:rsidRDefault="00060063" w:rsidP="00060063">
            <w:pPr>
              <w:rPr>
                <w:sz w:val="18"/>
                <w:szCs w:val="18"/>
              </w:rPr>
            </w:pPr>
          </w:p>
          <w:p w:rsidR="00060063" w:rsidRPr="00C4474C" w:rsidRDefault="00060063" w:rsidP="00060063">
            <w:pPr>
              <w:rPr>
                <w:sz w:val="18"/>
                <w:szCs w:val="18"/>
              </w:rPr>
            </w:pPr>
          </w:p>
          <w:p w:rsidR="00060063" w:rsidRPr="009228D8" w:rsidRDefault="00842093" w:rsidP="00060063">
            <w:pPr>
              <w:rPr>
                <w:sz w:val="16"/>
                <w:szCs w:val="16"/>
              </w:rPr>
            </w:pPr>
            <w:r>
              <w:rPr>
                <w:sz w:val="16"/>
                <w:szCs w:val="16"/>
              </w:rPr>
              <w:t xml:space="preserve"> </w:t>
            </w:r>
            <w:r w:rsidR="00947961">
              <w:rPr>
                <w:sz w:val="16"/>
                <w:szCs w:val="16"/>
              </w:rPr>
              <w:t xml:space="preserve"> </w:t>
            </w:r>
            <w:r w:rsidR="00DC72CA">
              <w:rPr>
                <w:sz w:val="16"/>
                <w:szCs w:val="16"/>
              </w:rPr>
              <w:t xml:space="preserve"> </w:t>
            </w:r>
            <w:r w:rsidR="00060063" w:rsidRPr="009228D8">
              <w:rPr>
                <w:sz w:val="16"/>
                <w:szCs w:val="16"/>
              </w:rPr>
              <w:t xml:space="preserve">Anerkannte Stelle </w:t>
            </w:r>
          </w:p>
          <w:p w:rsidR="00060063" w:rsidRPr="009228D8" w:rsidRDefault="00842093" w:rsidP="00060063">
            <w:pPr>
              <w:rPr>
                <w:sz w:val="16"/>
                <w:szCs w:val="16"/>
              </w:rPr>
            </w:pPr>
            <w:r>
              <w:rPr>
                <w:sz w:val="16"/>
                <w:szCs w:val="16"/>
              </w:rPr>
              <w:t xml:space="preserve"> </w:t>
            </w:r>
            <w:r w:rsidR="00A07EB9">
              <w:rPr>
                <w:sz w:val="16"/>
                <w:szCs w:val="16"/>
              </w:rPr>
              <w:t xml:space="preserve"> </w:t>
            </w:r>
            <w:r w:rsidR="00947961">
              <w:rPr>
                <w:sz w:val="16"/>
                <w:szCs w:val="16"/>
              </w:rPr>
              <w:t xml:space="preserve"> </w:t>
            </w:r>
            <w:r w:rsidR="00060063" w:rsidRPr="009228D8">
              <w:rPr>
                <w:sz w:val="16"/>
                <w:szCs w:val="16"/>
              </w:rPr>
              <w:t>gemäß § 305</w:t>
            </w:r>
          </w:p>
          <w:p w:rsidR="00060063" w:rsidRPr="009228D8" w:rsidRDefault="00A07EB9" w:rsidP="00060063">
            <w:pPr>
              <w:rPr>
                <w:sz w:val="16"/>
                <w:szCs w:val="16"/>
              </w:rPr>
            </w:pPr>
            <w:r>
              <w:rPr>
                <w:sz w:val="16"/>
                <w:szCs w:val="16"/>
              </w:rPr>
              <w:t xml:space="preserve"> </w:t>
            </w:r>
            <w:r w:rsidR="00947961">
              <w:rPr>
                <w:sz w:val="16"/>
                <w:szCs w:val="16"/>
              </w:rPr>
              <w:t xml:space="preserve"> </w:t>
            </w:r>
            <w:r>
              <w:rPr>
                <w:sz w:val="16"/>
                <w:szCs w:val="16"/>
              </w:rPr>
              <w:t xml:space="preserve"> </w:t>
            </w:r>
            <w:r w:rsidR="00060063" w:rsidRPr="009228D8">
              <w:rPr>
                <w:sz w:val="16"/>
                <w:szCs w:val="16"/>
              </w:rPr>
              <w:t>Insolvenzordnung</w:t>
            </w:r>
          </w:p>
          <w:p w:rsidR="00060063" w:rsidRPr="00CE5572" w:rsidRDefault="00060063" w:rsidP="00060063">
            <w:pPr>
              <w:rPr>
                <w:sz w:val="18"/>
                <w:szCs w:val="18"/>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Pr="00CE5572" w:rsidRDefault="00060063" w:rsidP="00060063">
            <w:pPr>
              <w:rPr>
                <w:sz w:val="16"/>
                <w:szCs w:val="16"/>
              </w:rPr>
            </w:pPr>
          </w:p>
        </w:tc>
      </w:tr>
    </w:tbl>
    <w:p w:rsidR="00FB6324" w:rsidRPr="009647A5" w:rsidRDefault="00FB6324" w:rsidP="00C24DD6">
      <w:pPr>
        <w:pStyle w:val="KeinLeerraum"/>
        <w:ind w:left="470"/>
        <w:jc w:val="both"/>
        <w:rPr>
          <w:rFonts w:ascii="Arial" w:hAnsi="Arial"/>
        </w:rPr>
      </w:pPr>
    </w:p>
    <w:sectPr w:rsidR="00FB6324" w:rsidRPr="009647A5" w:rsidSect="00E73447">
      <w:headerReference w:type="default" r:id="rId7"/>
      <w:pgSz w:w="11906" w:h="16838" w:code="9"/>
      <w:pgMar w:top="1418" w:right="3232" w:bottom="1418" w:left="1418"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36" w:rsidRDefault="000F7136" w:rsidP="000F7136">
      <w:r>
        <w:separator/>
      </w:r>
    </w:p>
  </w:endnote>
  <w:endnote w:type="continuationSeparator" w:id="0">
    <w:p w:rsidR="000F7136" w:rsidRDefault="000F7136" w:rsidP="000F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36" w:rsidRDefault="000F7136" w:rsidP="000F7136">
      <w:r>
        <w:separator/>
      </w:r>
    </w:p>
  </w:footnote>
  <w:footnote w:type="continuationSeparator" w:id="0">
    <w:p w:rsidR="000F7136" w:rsidRDefault="000F7136" w:rsidP="000F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47" w:rsidRDefault="00E73447">
    <w:pPr>
      <w:pStyle w:val="Kopfzeile"/>
      <w:rPr>
        <w:b/>
        <w:sz w:val="40"/>
        <w:szCs w:val="40"/>
      </w:rPr>
    </w:pPr>
  </w:p>
  <w:p w:rsidR="00E73447" w:rsidRPr="00E73447" w:rsidRDefault="006E23B2">
    <w:pPr>
      <w:pStyle w:val="Kopfzeile"/>
      <w:rPr>
        <w:b/>
        <w:sz w:val="40"/>
        <w:szCs w:val="40"/>
      </w:rPr>
    </w:pPr>
    <w:r>
      <w:rPr>
        <w:b/>
        <w:sz w:val="40"/>
        <w:szCs w:val="40"/>
      </w:rPr>
      <w:t>Energieschulden</w:t>
    </w:r>
  </w:p>
  <w:p w:rsidR="00E73447" w:rsidRDefault="00E73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A56"/>
    <w:multiLevelType w:val="hybridMultilevel"/>
    <w:tmpl w:val="785AA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F6261"/>
    <w:multiLevelType w:val="hybridMultilevel"/>
    <w:tmpl w:val="D5360E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22118"/>
    <w:multiLevelType w:val="hybridMultilevel"/>
    <w:tmpl w:val="90686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03939"/>
    <w:multiLevelType w:val="hybridMultilevel"/>
    <w:tmpl w:val="FA50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B352A5"/>
    <w:multiLevelType w:val="hybridMultilevel"/>
    <w:tmpl w:val="B0620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295716"/>
    <w:multiLevelType w:val="hybridMultilevel"/>
    <w:tmpl w:val="9C48F7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086B75"/>
    <w:multiLevelType w:val="hybridMultilevel"/>
    <w:tmpl w:val="7B72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B63D95"/>
    <w:multiLevelType w:val="hybridMultilevel"/>
    <w:tmpl w:val="9A203F9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53CF6481"/>
    <w:multiLevelType w:val="hybridMultilevel"/>
    <w:tmpl w:val="F5601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341FE"/>
    <w:multiLevelType w:val="hybridMultilevel"/>
    <w:tmpl w:val="FF9CB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0"/>
  </w:num>
  <w:num w:numId="7">
    <w:abstractNumId w:val="9"/>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ot;HB_Nachname#n&quot;" w:val="&quot;HB_Nachname#n&quot;"/>
    <w:docVar w:name="&quot;HB_Vorname#n&quot;" w:val="&quot;HB_Vorname#n&quot;"/>
    <w:docVar w:name="&quot;P_Adresse_Hausnummer#n&quot;" w:val="&quot;P_Adresse_Hausnummer#n&quot;"/>
    <w:docVar w:name="&quot;P_Adresse_Ort#n&quot;" w:val="&quot;P_Adresse_Ort#n&quot;"/>
    <w:docVar w:name="&quot;P_Adresse_PLZ#n&quot;" w:val="&quot;P_Adresse_PLZ#n&quot;"/>
    <w:docVar w:name="&quot;P_Adresse_Strasse#n&quot;" w:val="&quot;P_Adresse_Strasse#n&quot;"/>
    <w:docVar w:name="&quot;P_Aktenzeichen#n&quot;" w:val="&quot;P_Aktenzeichen#n&quot;"/>
    <w:docVar w:name="&quot;P_Geburtsdatum#n&quot;" w:val="&quot;P_Geburtsdatum#n&quot;"/>
    <w:docVar w:name="&quot;P_Name#n&quot;" w:val="&quot;P_Name#n&quot;"/>
    <w:docVar w:name="&quot;P_Telefon#n&quot;" w:val="&quot;P_Telefon#n&quot;"/>
    <w:docVar w:name="&quot;P_Vorname#n&quot;" w:val="&quot;P_Vorname#n&quot;"/>
    <w:docVar w:name="&quot;VG_Datum#n&quot;" w:val="&quot;VG_Datum#n&quot;"/>
    <w:docVar w:name="HB_Nachname#n" w:val="Feige"/>
    <w:docVar w:name="HB_Vorname#n" w:val="Christoph"/>
    <w:docVar w:name="P_Adresse_Hausnummer#n" w:val="15"/>
    <w:docVar w:name="P_Adresse_Ort#n" w:val="Neumünster"/>
    <w:docVar w:name="P_Adresse_PLZ#n" w:val="24534"/>
    <w:docVar w:name="P_Adresse_Strasse#n" w:val="Jägerweg"/>
    <w:docVar w:name="P_Aktenzeichen#n" w:val="cf326-27"/>
    <w:docVar w:name="P_Geburtsdatum#n" w:val="04.01.1987"/>
    <w:docVar w:name="P_Name#n" w:val="Mustersvennssonn"/>
    <w:docVar w:name="P_Telefon#n" w:val="04321"/>
    <w:docVar w:name="P_Vorname#n" w:val="Mellan"/>
    <w:docVar w:name="VG_Datum#n" w:val="20.01.2016"/>
  </w:docVars>
  <w:rsids>
    <w:rsidRoot w:val="00CE5572"/>
    <w:rsid w:val="00060063"/>
    <w:rsid w:val="000F7136"/>
    <w:rsid w:val="001D7717"/>
    <w:rsid w:val="002D1A69"/>
    <w:rsid w:val="00387C2C"/>
    <w:rsid w:val="003F42B1"/>
    <w:rsid w:val="0042035A"/>
    <w:rsid w:val="0049325E"/>
    <w:rsid w:val="004D701A"/>
    <w:rsid w:val="006718D5"/>
    <w:rsid w:val="00677137"/>
    <w:rsid w:val="006E23B2"/>
    <w:rsid w:val="006E74EE"/>
    <w:rsid w:val="00713D9D"/>
    <w:rsid w:val="00797BFC"/>
    <w:rsid w:val="00801CC7"/>
    <w:rsid w:val="00842093"/>
    <w:rsid w:val="00842471"/>
    <w:rsid w:val="008A31A8"/>
    <w:rsid w:val="009228D8"/>
    <w:rsid w:val="00947961"/>
    <w:rsid w:val="00971ADE"/>
    <w:rsid w:val="00A07EB9"/>
    <w:rsid w:val="00AC3B52"/>
    <w:rsid w:val="00B26434"/>
    <w:rsid w:val="00C2350F"/>
    <w:rsid w:val="00C24DD6"/>
    <w:rsid w:val="00C4474C"/>
    <w:rsid w:val="00C569AF"/>
    <w:rsid w:val="00CE5572"/>
    <w:rsid w:val="00DC72CA"/>
    <w:rsid w:val="00E73447"/>
    <w:rsid w:val="00FB6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7656581-2E51-492B-AFCC-46FB142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28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8D8"/>
    <w:rPr>
      <w:rFonts w:ascii="Segoe UI" w:hAnsi="Segoe UI" w:cs="Segoe UI"/>
      <w:sz w:val="18"/>
      <w:szCs w:val="18"/>
    </w:rPr>
  </w:style>
  <w:style w:type="paragraph" w:styleId="Kopfzeile">
    <w:name w:val="header"/>
    <w:basedOn w:val="Standard"/>
    <w:link w:val="KopfzeileZchn"/>
    <w:uiPriority w:val="99"/>
    <w:unhideWhenUsed/>
    <w:rsid w:val="000F7136"/>
    <w:pPr>
      <w:tabs>
        <w:tab w:val="center" w:pos="4536"/>
        <w:tab w:val="right" w:pos="9072"/>
      </w:tabs>
    </w:pPr>
  </w:style>
  <w:style w:type="character" w:customStyle="1" w:styleId="KopfzeileZchn">
    <w:name w:val="Kopfzeile Zchn"/>
    <w:basedOn w:val="Absatz-Standardschriftart"/>
    <w:link w:val="Kopfzeile"/>
    <w:uiPriority w:val="99"/>
    <w:rsid w:val="000F7136"/>
  </w:style>
  <w:style w:type="paragraph" w:styleId="Fuzeile">
    <w:name w:val="footer"/>
    <w:basedOn w:val="Standard"/>
    <w:link w:val="FuzeileZchn"/>
    <w:uiPriority w:val="99"/>
    <w:unhideWhenUsed/>
    <w:rsid w:val="000F7136"/>
    <w:pPr>
      <w:tabs>
        <w:tab w:val="center" w:pos="4536"/>
        <w:tab w:val="right" w:pos="9072"/>
      </w:tabs>
    </w:pPr>
  </w:style>
  <w:style w:type="character" w:customStyle="1" w:styleId="FuzeileZchn">
    <w:name w:val="Fußzeile Zchn"/>
    <w:basedOn w:val="Absatz-Standardschriftart"/>
    <w:link w:val="Fuzeile"/>
    <w:uiPriority w:val="99"/>
    <w:rsid w:val="000F7136"/>
  </w:style>
  <w:style w:type="paragraph" w:styleId="KeinLeerraum">
    <w:name w:val="No Spacing"/>
    <w:uiPriority w:val="1"/>
    <w:qFormat/>
    <w:rsid w:val="001D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Weinack, Ann-Christin</dc:creator>
  <cp:keywords/>
  <dc:description/>
  <cp:lastModifiedBy>Roennfeldt, Petra</cp:lastModifiedBy>
  <cp:revision>5</cp:revision>
  <cp:lastPrinted>2016-01-20T13:03:00Z</cp:lastPrinted>
  <dcterms:created xsi:type="dcterms:W3CDTF">2016-08-30T08:30:00Z</dcterms:created>
  <dcterms:modified xsi:type="dcterms:W3CDTF">2017-02-02T08:30:00Z</dcterms:modified>
</cp:coreProperties>
</file>